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C0" w:rsidRDefault="00F201C0">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F201C0" w:rsidRDefault="00F201C0">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F201C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31.07.2019</w:t>
            </w:r>
          </w:p>
        </w:tc>
      </w:tr>
      <w:tr w:rsidR="00F201C0">
        <w:tblPrEx>
          <w:tblCellMar>
            <w:top w:w="0" w:type="dxa"/>
            <w:bottom w:w="0" w:type="dxa"/>
          </w:tblCellMar>
        </w:tblPrEx>
        <w:trPr>
          <w:trHeight w:val="300"/>
        </w:trPr>
        <w:tc>
          <w:tcPr>
            <w:tcW w:w="4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F201C0">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3</w:t>
            </w:r>
          </w:p>
        </w:tc>
      </w:tr>
      <w:tr w:rsidR="00F201C0">
        <w:tblPrEx>
          <w:tblCellMar>
            <w:top w:w="0" w:type="dxa"/>
            <w:bottom w:w="0" w:type="dxa"/>
          </w:tblCellMar>
        </w:tblPrEx>
        <w:trPr>
          <w:trHeight w:val="300"/>
        </w:trPr>
        <w:tc>
          <w:tcPr>
            <w:tcW w:w="4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F201C0" w:rsidRDefault="00F201C0">
      <w:pPr>
        <w:widowControl w:val="0"/>
        <w:autoSpaceDE w:val="0"/>
        <w:autoSpaceDN w:val="0"/>
        <w:adjustRightInd w:val="0"/>
        <w:spacing w:after="0" w:line="240" w:lineRule="auto"/>
        <w:rPr>
          <w:rFonts w:ascii="Times New Roman CYR" w:hAnsi="Times New Roman CYR" w:cs="Times New Roman CYR"/>
          <w:sz w:val="20"/>
          <w:szCs w:val="20"/>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F201C0">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Дiденко Валерiй Дмитрович</w:t>
            </w:r>
          </w:p>
        </w:tc>
      </w:tr>
      <w:tr w:rsidR="00F201C0">
        <w:tblPrEx>
          <w:tblCellMar>
            <w:top w:w="0" w:type="dxa"/>
            <w:bottom w:w="0" w:type="dxa"/>
          </w:tblCellMar>
        </w:tblPrEx>
        <w:trPr>
          <w:trHeight w:val="200"/>
        </w:trPr>
        <w:tc>
          <w:tcPr>
            <w:tcW w:w="4140" w:type="dxa"/>
            <w:tcBorders>
              <w:top w:val="nil"/>
              <w:left w:val="nil"/>
              <w:bottom w:val="nil"/>
              <w:right w:val="nil"/>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F201C0" w:rsidRDefault="00F201C0">
      <w:pPr>
        <w:widowControl w:val="0"/>
        <w:autoSpaceDE w:val="0"/>
        <w:autoSpaceDN w:val="0"/>
        <w:adjustRightInd w:val="0"/>
        <w:spacing w:after="0" w:line="240" w:lineRule="auto"/>
        <w:rPr>
          <w:rFonts w:ascii="Times New Roman CYR" w:hAnsi="Times New Roman CYR" w:cs="Times New Roman CYR"/>
          <w:sz w:val="20"/>
          <w:szCs w:val="20"/>
        </w:rPr>
      </w:pPr>
    </w:p>
    <w:p w:rsidR="00F201C0" w:rsidRDefault="00F201C0">
      <w:pPr>
        <w:widowControl w:val="0"/>
        <w:autoSpaceDE w:val="0"/>
        <w:autoSpaceDN w:val="0"/>
        <w:adjustRightInd w:val="0"/>
        <w:spacing w:after="0" w:line="240" w:lineRule="auto"/>
        <w:rPr>
          <w:rFonts w:ascii="Times New Roman CYR" w:hAnsi="Times New Roman CYR" w:cs="Times New Roman CYR"/>
          <w:sz w:val="20"/>
          <w:szCs w:val="20"/>
        </w:r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Проміжна інформація емітента цінних паперів</w:t>
      </w: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 квартал 2019 року</w:t>
      </w:r>
    </w:p>
    <w:p w:rsidR="00F201C0" w:rsidRDefault="00F201C0">
      <w:pPr>
        <w:widowControl w:val="0"/>
        <w:autoSpaceDE w:val="0"/>
        <w:autoSpaceDN w:val="0"/>
        <w:adjustRightInd w:val="0"/>
        <w:spacing w:after="0" w:line="240" w:lineRule="auto"/>
        <w:rPr>
          <w:rFonts w:ascii="Times New Roman CYR" w:hAnsi="Times New Roman CYR" w:cs="Times New Roman CYR"/>
          <w:b/>
          <w:bCs/>
          <w:sz w:val="24"/>
          <w:szCs w:val="24"/>
        </w:r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Товариство з обмеженою вiдповiдальнiстю "Будiвельний центр"Добробуд"</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Товариство з обмеженою відповідальністю</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33978232</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18028, Черкаська обл., м.Черкаси, провулок Анатолiя Пашкевича , буд.2</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0472645258, 0472641650</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stroj@dobrobud.ck.ua</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проміжної інформації</w:t>
      </w: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F201C0">
        <w:tblPrEx>
          <w:tblCellMar>
            <w:top w:w="0" w:type="dxa"/>
            <w:bottom w:w="0" w:type="dxa"/>
          </w:tblCellMar>
        </w:tblPrEx>
        <w:trPr>
          <w:trHeight w:val="300"/>
        </w:trPr>
        <w:tc>
          <w:tcPr>
            <w:tcW w:w="445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http://dobrobud.ck.ua/inv-1.html</w:t>
            </w:r>
          </w:p>
        </w:tc>
        <w:tc>
          <w:tcPr>
            <w:tcW w:w="3350" w:type="dxa"/>
            <w:tcBorders>
              <w:top w:val="nil"/>
              <w:left w:val="nil"/>
              <w:bottom w:val="single" w:sz="6" w:space="0" w:color="auto"/>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31.07.2019</w:t>
            </w:r>
          </w:p>
        </w:tc>
      </w:tr>
      <w:tr w:rsidR="00F201C0">
        <w:tblPrEx>
          <w:tblCellMar>
            <w:top w:w="0" w:type="dxa"/>
            <w:bottom w:w="0" w:type="dxa"/>
          </w:tblCellMar>
        </w:tblPrEx>
        <w:trPr>
          <w:trHeight w:val="300"/>
        </w:trPr>
        <w:tc>
          <w:tcPr>
            <w:tcW w:w="445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F201C0" w:rsidRDefault="00F201C0">
      <w:pPr>
        <w:widowControl w:val="0"/>
        <w:autoSpaceDE w:val="0"/>
        <w:autoSpaceDN w:val="0"/>
        <w:adjustRightInd w:val="0"/>
        <w:spacing w:after="0" w:line="240" w:lineRule="auto"/>
        <w:rPr>
          <w:rFonts w:ascii="Times New Roman CYR" w:hAnsi="Times New Roman CYR" w:cs="Times New Roman CYR"/>
          <w:sz w:val="20"/>
          <w:szCs w:val="20"/>
        </w:rPr>
        <w:sectPr w:rsidR="00F201C0">
          <w:pgSz w:w="12240" w:h="15840"/>
          <w:pgMar w:top="850" w:right="850" w:bottom="850" w:left="1400" w:header="720" w:footer="720" w:gutter="0"/>
          <w:cols w:space="720"/>
          <w:noEndnote/>
        </w:sect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Зміст</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8"/>
          <w:szCs w:val="28"/>
        </w:rPr>
        <w:tab/>
      </w:r>
      <w:r>
        <w:rPr>
          <w:rFonts w:ascii="Times New Roman CYR" w:hAnsi="Times New Roman CYR" w:cs="Times New Roman CYR"/>
          <w:sz w:val="24"/>
          <w:szCs w:val="24"/>
        </w:rPr>
        <w:t>Відмітьте (Х), якщо відповідна інформація міститься у проміжній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на окремі види діяльності</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посадових осіб емітента</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господарську та фінансову діяльність емітента:</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зобов'язання та забезпечення емітента</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собівартість реалізованої продукції</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про цінні папери емітента:</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випуски акцій емітента</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облігації емітента</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інші цінні папери, випущені емітентом</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похідні цінні папери емітента</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Відомості щодо участі емітента в юридичних особах </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Інформація щодо корпоративного секретаря</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Інформація про вчинення значних правочинів</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 </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Інформація про забезпечення випуску боргових цінних паперів</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конвертацію цінних паперів</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заміну управителя</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керуючого іпотекою</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трансформацію (перетворення) іпотечних активів</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зміни в реєстрі забезпечення іпотечних сертифікатів за кожним консолідованим іпотечним боргом</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іпотечне покриття:</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заміну іпотечних активів у складі іпотечного покриття</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заміни іпотечних активів у складі іпотечного покриття або включення нових іпотечних активів до складу іпотечного покриття </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Інформація про заміну фінансової установи, яка здійснює обслуговування іпотечних активів</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20. Звіт про стан об'єкта нерухомості (у разі емісії цільових облігацій підприємств, </w:t>
            </w:r>
            <w:r>
              <w:rPr>
                <w:rFonts w:ascii="Times New Roman CYR" w:hAnsi="Times New Roman CYR" w:cs="Times New Roman CYR"/>
                <w:sz w:val="24"/>
                <w:szCs w:val="24"/>
              </w:rPr>
              <w:lastRenderedPageBreak/>
              <w:t>виконання зобов'язань за якими здійснюється шляхом передачі об'єкта (частини об'єкта) житлового будівництва)</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X</w:t>
            </w: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21. Проміжна фінансова звітність емітента, складена за положеннями (стандартами) бухгалтерського обліку</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Проміжна фінансова звітність емітента, складена за міжнародними стандартами фінансової звітності</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Висновок про огляд проміжної фінансової звітності, підготовлений аудитором (аудиторською фірмою)</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Проміжний звіт керівництва</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9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Твердження щодо проміжної інформації</w:t>
            </w:r>
          </w:p>
        </w:tc>
        <w:tc>
          <w:tcPr>
            <w:tcW w:w="1000" w:type="dxa"/>
            <w:tcBorders>
              <w:top w:val="nil"/>
              <w:left w:val="nil"/>
              <w:bottom w:val="nil"/>
              <w:right w:val="nil"/>
            </w:tcBorders>
            <w:vAlign w:val="bottom"/>
          </w:tcPr>
          <w:p w:rsidR="00F201C0" w:rsidRDefault="00F201C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201C0">
        <w:tblPrEx>
          <w:tblCellMar>
            <w:top w:w="0" w:type="dxa"/>
            <w:bottom w:w="0" w:type="dxa"/>
          </w:tblCellMar>
        </w:tblPrEx>
        <w:trPr>
          <w:trHeight w:val="300"/>
        </w:trPr>
        <w:tc>
          <w:tcPr>
            <w:tcW w:w="10000" w:type="dxa"/>
            <w:gridSpan w:val="2"/>
            <w:tcBorders>
              <w:top w:val="nil"/>
              <w:left w:val="nil"/>
              <w:bottom w:val="nil"/>
              <w:right w:val="nil"/>
            </w:tcBorders>
            <w:vAlign w:val="bottom"/>
          </w:tcPr>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Примітки:</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Данi про Банки, що обслуговують емiтента за поточним рахунком у iноземнiй валютi, не надаються - Товариство не має поточного рахунку в iноземнiй валютi.</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одержанi лiцензiї (дозволи) на окремi види дiяльностi" не заповнено, у звязку з вiдсутнiстю таких лiцензiй (дозволiв).</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посади "корпоративного секретаря" не заповнено у зв'язку iз вiдсутнiстю такої посади.</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випуск акцiй емiтента", "Iнформацiя про iншi цiннi папери, випущенi емiтентом" та "Iнформацiя про похiднi цiннi папери емiтента" не заповнено у звязку з вiдсутнiстю зареєстрованого випуску акцiй, iнших цiнних паперiв та похiдних цiнних паперiв, емiсiя яких пiдлягає реєстрацiї.</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обсяги виробництва та реалiзацiї основних видiв продукцiї" та "Iнформацiя про собiвартiсть реалiзованої продукцiї", не заповнена у звязку iз тим, що емiтент не займається переробною чи добувною дiяльнiстю та не виробляє i не розподiляє електроенергiю, газ та воду.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складає фiнансову звiтнiсть вiдповiдно до мiжнародних стандартiв фiнансової звiтностi.</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tc>
      </w:tr>
    </w:tbl>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sectPr w:rsidR="00F201C0">
          <w:pgSz w:w="12240" w:h="15840"/>
          <w:pgMar w:top="850" w:right="850" w:bottom="850" w:left="1400" w:header="720" w:footer="720" w:gutter="0"/>
          <w:cols w:space="720"/>
          <w:noEndnote/>
        </w:sect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Генеральний директор</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Дiденко Валерiй Дмитрович</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1985</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вища</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"Черкасизалiзобетонбуд", 3130616219, З 12 сiчня 2012р. по теперiшнiй час працює (постiйне мiсце роботи)директор департаменту проектного вiддiлу ТОВ "Черкасизалiзобетонбуд" та за сумiтництвом з 01 липня 2015р. директором ТОВ "Iнтертрейдплюс"</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Дiденко В.Д. призначен Генеральним директором за сумiсництвом на ПОЗАЧЕРГОВИХ ЗАГАЛЬНИХ ЗБОРIВ УЧАСНИКIВ ТОВ "БЦ "Добробуд" (Рiшення №1 вiд 25.02.2019р.)наказ про призначення № 3к вiд 26.02.2019 року.</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 має.</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стаж керiвної роботи: 7 рокiв.</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Виплата винагороди, в тому числi в натуральнiй формi, Генеральному директору не здiйснювалась.</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Сушко Лiдiя Миколаївна</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середня-спецiальна</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7. Найменування підприємства, ідентифікаційний код юридичної особи та посада, яку займав</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"Контур-Аудит", 2306217183, ПАТ "Контур-Аудит" - виконавчий директор</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Сушко Л.М. призначена на посаду головного бухгалтера ТОВ "БЦ "Добробуд", згiдно наказу директора №6к вiд 22.12.2014 року. Попереднi посади, якi особа обiймала останнi п"ять рокiв: головний бухгалтер, виконавчий директор.</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 має.</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Виплата винагороди, в тому числi в натуральнiй формi, головному бухгалтеру не здiйснювалась.</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органiзовує роботу бухгалтерiї та пiдлеглих; виконує роботу з ведення бухгалтерського облiку майна, зобов'язань i господарських операцiй; вiдповiдає за своєчасне та якiсне складання документiв щодо фiнансової звiтностi пiдприємства та контролює їх подання у державнi установи вiдповiдно до чинного законодавства України.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право: користуватись матерiалами та iнформацiєю, що стосуються фiнансово-господарської дiяльностi пiдприємства; використовувати наявне технiчне обладнання та програмне забезпечення, необхiдне для виконання службових обов'язкiв; представляти iнтереси пiдприємства в стороннiх органiзацiях (зокрема державних установах) з питань, що стосуються фiнансово-господарської дiяльностi пiдприємства. Головний бухгалтер має право пiдпису бухгалтерських та податкових документiв i звiтiв у вiдповiдностi до службових обов'язкiв.</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 Інформація про господарську та фінансову діяльність емітента</w:t>
      </w: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t>1.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Дата погашення</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42538</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42538</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Серiя А (Цiльовi облiгацii за номiнальною вартiстю)</w:t>
            </w:r>
          </w:p>
        </w:tc>
        <w:tc>
          <w:tcPr>
            <w:tcW w:w="14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148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30058</w:t>
            </w:r>
          </w:p>
        </w:tc>
        <w:tc>
          <w:tcPr>
            <w:tcW w:w="19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30.06.2019</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Серiя В (Цiльовi облiгацii за номiнальною вартiстю)</w:t>
            </w:r>
          </w:p>
        </w:tc>
        <w:tc>
          <w:tcPr>
            <w:tcW w:w="14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148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12480</w:t>
            </w:r>
          </w:p>
        </w:tc>
        <w:tc>
          <w:tcPr>
            <w:tcW w:w="19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30.06.2019</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(усього)</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4851</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47389</w:t>
            </w:r>
          </w:p>
        </w:tc>
        <w:tc>
          <w:tcPr>
            <w:tcW w:w="194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201C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"Кредити банку", "Iнформацiя про зобов"язання емiтента за фiнансовими iнвестицiями в корпоративнi права (за кожним видом)", "Iнформацiя про зобов"язання емiтента за iпотечними цiнними паперами (за кожним власним випуском)", "Iнформацiя про зобов"язання емiтента за кожним випуском сертифiкатiв ФОН", "Iнформацiя про зобов"язання емiтента (за iншими цiнними паперами (у тому числi за кожним видом похiдних цiнних паперiв)" не заповнено у зв"язку з вiдсутнiстю такої iнформацiї.</w:t>
            </w:r>
          </w:p>
        </w:tc>
      </w:tr>
    </w:tbl>
    <w:p w:rsidR="00F201C0" w:rsidRDefault="00F201C0">
      <w:pPr>
        <w:widowControl w:val="0"/>
        <w:autoSpaceDE w:val="0"/>
        <w:autoSpaceDN w:val="0"/>
        <w:adjustRightInd w:val="0"/>
        <w:spacing w:after="0" w:line="240" w:lineRule="auto"/>
        <w:rPr>
          <w:rFonts w:ascii="Times New Roman CYR" w:hAnsi="Times New Roman CYR" w:cs="Times New Roman CYR"/>
        </w:rPr>
      </w:pPr>
    </w:p>
    <w:p w:rsidR="00F201C0" w:rsidRDefault="00F201C0">
      <w:pPr>
        <w:widowControl w:val="0"/>
        <w:autoSpaceDE w:val="0"/>
        <w:autoSpaceDN w:val="0"/>
        <w:adjustRightInd w:val="0"/>
        <w:spacing w:after="0" w:line="240" w:lineRule="auto"/>
        <w:rPr>
          <w:rFonts w:ascii="Times New Roman CYR" w:hAnsi="Times New Roman CYR" w:cs="Times New Roman CYR"/>
        </w:rPr>
      </w:pPr>
    </w:p>
    <w:p w:rsidR="00F201C0" w:rsidRDefault="00F201C0">
      <w:pPr>
        <w:widowControl w:val="0"/>
        <w:autoSpaceDE w:val="0"/>
        <w:autoSpaceDN w:val="0"/>
        <w:adjustRightInd w:val="0"/>
        <w:spacing w:after="0" w:line="240" w:lineRule="auto"/>
        <w:rPr>
          <w:rFonts w:ascii="Times New Roman CYR" w:hAnsi="Times New Roman CYR" w:cs="Times New Roman CYR"/>
        </w:rPr>
        <w:sectPr w:rsidR="00F201C0">
          <w:pgSz w:w="12240" w:h="15840"/>
          <w:pgMar w:top="850" w:right="850" w:bottom="850" w:left="1400" w:header="720" w:footer="720" w:gutter="0"/>
          <w:cols w:space="720"/>
          <w:noEndnote/>
        </w:sect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VІІ. Відомості про цінні папери емітента</w:t>
      </w: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F201C0" w:rsidRDefault="00F201C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Інформація про облігації емітента</w:t>
      </w:r>
    </w:p>
    <w:tbl>
      <w:tblPr>
        <w:tblW w:w="0" w:type="auto"/>
        <w:tblInd w:w="-4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20"/>
        <w:gridCol w:w="880"/>
        <w:gridCol w:w="1200"/>
        <w:gridCol w:w="1200"/>
        <w:gridCol w:w="900"/>
        <w:gridCol w:w="1050"/>
        <w:gridCol w:w="1100"/>
        <w:gridCol w:w="1400"/>
        <w:gridCol w:w="1100"/>
        <w:gridCol w:w="1310"/>
        <w:gridCol w:w="1190"/>
        <w:gridCol w:w="1350"/>
        <w:gridCol w:w="1200"/>
      </w:tblGrid>
      <w:tr w:rsidR="00F201C0">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8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12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2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9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Облігації (відсоткові, цільові, дисконтні)</w:t>
            </w:r>
          </w:p>
        </w:tc>
        <w:tc>
          <w:tcPr>
            <w:tcW w:w="105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1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у випуску (шт.)</w:t>
            </w:r>
          </w:p>
        </w:tc>
        <w:tc>
          <w:tcPr>
            <w:tcW w:w="14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1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31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Процентна ставка (у відсотках)</w:t>
            </w:r>
          </w:p>
        </w:tc>
        <w:tc>
          <w:tcPr>
            <w:tcW w:w="119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Термін виплати процентів</w:t>
            </w:r>
          </w:p>
        </w:tc>
        <w:tc>
          <w:tcPr>
            <w:tcW w:w="135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Сума виплаченого процентного доходу у звітному періоді (грн)</w:t>
            </w:r>
          </w:p>
        </w:tc>
        <w:tc>
          <w:tcPr>
            <w:tcW w:w="1200"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погашення облігацій</w:t>
            </w:r>
          </w:p>
        </w:tc>
      </w:tr>
      <w:tr w:rsidR="00F201C0">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8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9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5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1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10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31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19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5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200"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F201C0">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88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144/2/06</w:t>
            </w:r>
          </w:p>
        </w:tc>
        <w:tc>
          <w:tcPr>
            <w:tcW w:w="12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2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UA230444BB03</w:t>
            </w:r>
          </w:p>
        </w:tc>
        <w:tc>
          <w:tcPr>
            <w:tcW w:w="9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цільові</w:t>
            </w:r>
          </w:p>
        </w:tc>
        <w:tc>
          <w:tcPr>
            <w:tcW w:w="105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c>
          <w:tcPr>
            <w:tcW w:w="11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600000</w:t>
            </w:r>
          </w:p>
        </w:tc>
        <w:tc>
          <w:tcPr>
            <w:tcW w:w="14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1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12480000</w:t>
            </w:r>
          </w:p>
        </w:tc>
        <w:tc>
          <w:tcPr>
            <w:tcW w:w="131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30.06.2019</w:t>
            </w:r>
          </w:p>
        </w:tc>
      </w:tr>
      <w:tr w:rsidR="00F201C0">
        <w:tblPrEx>
          <w:tblCellMar>
            <w:top w:w="0" w:type="dxa"/>
            <w:left w:w="108" w:type="dxa"/>
            <w:bottom w:w="0" w:type="dxa"/>
            <w:right w:w="108" w:type="dxa"/>
          </w:tblCellMar>
        </w:tblPrEx>
        <w:trPr>
          <w:trHeight w:val="300"/>
        </w:trPr>
        <w:tc>
          <w:tcPr>
            <w:tcW w:w="122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80" w:type="dxa"/>
            <w:gridSpan w:val="1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Випуск облiгацiй серiї В, iнформацiя щодо погашення облiгацiй - початок погашення облiгацiй - 02.07.2010 р., закiнчення погашення - 31.12.2018 рiк (включно)</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Фiнансовi ресурси, залученi вiд продажу облiгацiй в повному обсязi спрямовують на фiнансування робiт з будiвництва 6000 кв.м. в 16-ти поверховому будинку по вул. Гоголя 302 в м.Черкаси.</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Джерелом погашення емiтованих безпроцентних ( цiльових ) облiгацiй є передача у власнiсть власникам облiгацiй новозбудованої кiлькостi квадратних метрiв житлової площi 16-ти поверхового будинку по вул. Гоголя 302 в м.Черкаси.</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Облiгацiї розмiщуються шляхом вiдкритого продажу та обертаються вiльно протягом всього термiну обiгу.</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позабiржовому ринку облiгацiї продаються за договiрною цiною.</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Виплату процентiв не передбачено.</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Фактiв лiстингу/дилiстингу цiнних паперiв емiтента на фондових бiржах у звiтному перiодi не було.</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Вiдбуваeться погашення облiгацiй серii B вiдповiдно до умов Iнформацii про випуск облiгацiй та чинного законодавства</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tc>
      </w:tr>
      <w:tr w:rsidR="00F201C0">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88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143/2/06</w:t>
            </w:r>
          </w:p>
        </w:tc>
        <w:tc>
          <w:tcPr>
            <w:tcW w:w="12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2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UA230444BA04</w:t>
            </w:r>
          </w:p>
        </w:tc>
        <w:tc>
          <w:tcPr>
            <w:tcW w:w="9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цільові</w:t>
            </w:r>
          </w:p>
        </w:tc>
        <w:tc>
          <w:tcPr>
            <w:tcW w:w="105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w:t>
            </w:r>
          </w:p>
        </w:tc>
        <w:tc>
          <w:tcPr>
            <w:tcW w:w="11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2000000</w:t>
            </w:r>
          </w:p>
        </w:tc>
        <w:tc>
          <w:tcPr>
            <w:tcW w:w="14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10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36400000</w:t>
            </w:r>
          </w:p>
        </w:tc>
        <w:tc>
          <w:tcPr>
            <w:tcW w:w="131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tcBorders>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30.06.2019</w:t>
            </w:r>
          </w:p>
        </w:tc>
      </w:tr>
      <w:tr w:rsidR="00F201C0">
        <w:tblPrEx>
          <w:tblCellMar>
            <w:top w:w="0" w:type="dxa"/>
            <w:left w:w="108" w:type="dxa"/>
            <w:bottom w:w="0" w:type="dxa"/>
            <w:right w:w="108" w:type="dxa"/>
          </w:tblCellMar>
        </w:tblPrEx>
        <w:trPr>
          <w:trHeight w:val="300"/>
        </w:trPr>
        <w:tc>
          <w:tcPr>
            <w:tcW w:w="122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80" w:type="dxa"/>
            <w:gridSpan w:val="1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Випуск облiгацiй серiї А, iнформацiя щодо погашення облiгацiй - початок погашення облiгацiй - 02.07.2010 р., закiнчення погашення - 30.06.2019 рiк (включно).</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Фiнансовi ресурси, залученi вiд продажу облiгацiй в повному обсязi спрямовують на фiнансування робiт з будiвництва 20 000 кв.м. в 16-ти </w:t>
            </w:r>
            <w:r>
              <w:rPr>
                <w:rFonts w:ascii="Times New Roman CYR" w:hAnsi="Times New Roman CYR" w:cs="Times New Roman CYR"/>
              </w:rPr>
              <w:lastRenderedPageBreak/>
              <w:t>поверховому будинку по вул. Пушкiна 31/2 в м.Черкаси.</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Джерелом погашення емiтованих безпроцентних ( цiльових ) облiгацiй є передача у власнiсть власникам облiгацiй новозбудованої кiлькостi квадратних метрiв житлової площi 16-ти поверхового будинку по вул.Пушкiна 31/2 в м.Черкаси.</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Облiгацiї розмiщуються шляхом вiдкритого продажу та обертаються вiльно протягом всього термiну обiгу.</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позабiржовому ринку облiгацiї продаються за договiрною цiною.</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Виплату процентiв не передбачено.</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Фактiв лiстингу/дилiстингу цiнних паперiв емiтента на фондових бiржах у звiтному перiодi не було.</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Вiдбуваeться погашення облiгацiй серii А вiдповiдно до умов Iнформацii про випуск облiгацiй та чинного законодавства.</w:t>
            </w: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rPr>
            </w:pPr>
          </w:p>
        </w:tc>
      </w:tr>
    </w:tbl>
    <w:p w:rsidR="00F201C0" w:rsidRDefault="00F201C0">
      <w:pPr>
        <w:widowControl w:val="0"/>
        <w:autoSpaceDE w:val="0"/>
        <w:autoSpaceDN w:val="0"/>
        <w:adjustRightInd w:val="0"/>
        <w:spacing w:after="0" w:line="240" w:lineRule="auto"/>
        <w:rPr>
          <w:rFonts w:ascii="Times New Roman CYR" w:hAnsi="Times New Roman CYR" w:cs="Times New Roman CYR"/>
        </w:rPr>
      </w:pPr>
    </w:p>
    <w:p w:rsidR="00F201C0" w:rsidRDefault="00F201C0">
      <w:pPr>
        <w:widowControl w:val="0"/>
        <w:autoSpaceDE w:val="0"/>
        <w:autoSpaceDN w:val="0"/>
        <w:adjustRightInd w:val="0"/>
        <w:spacing w:after="0" w:line="240" w:lineRule="auto"/>
        <w:rPr>
          <w:rFonts w:ascii="Times New Roman CYR" w:hAnsi="Times New Roman CYR" w:cs="Times New Roman CYR"/>
        </w:rPr>
        <w:sectPr w:rsidR="00F201C0">
          <w:pgSz w:w="16838" w:h="11906" w:orient="landscape"/>
          <w:pgMar w:top="850" w:right="850" w:bottom="850" w:left="1400" w:header="720" w:footer="720" w:gutter="0"/>
          <w:cols w:space="720"/>
          <w:noEndnote/>
        </w:sect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Відомості щодо участі емітента у юридичних особах</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"БК"Добробудплюс"</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33363766</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буд. 2</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"Будiвельний центр "Добробуд" має частку у статутному фондi ТОВ "БК "Добробудплюс" - 50% , внесено грошовими коштами. Основними видами дiяльностi є: будiвельна дiяльнiсть; будiвельнi та будiвельно-монтажнi роботи; вишукувальнi та проектнi роботи для будiвництва; виробництво та реалiзацiя залiзобетонних конструкцiй, виробiв; виробництво товарного бетону та будiвельного розчину, виробництво стiнових блокiв; архiтектурне та будiвельне проектування, у тому числi: житлових будiвель, громадських будiвель i споруд; iнженерних, транспортних, енергетичних споруд. Права, що належать емiтенту щодо управляння створеною юридичною особою: - брати участь в управлiння справами Товариства в порядку, визначеному Статутом Товариства; - брати участь у розподiлi прибутку та отримувати частину прибутку (дивiденди) вiд дiяльностi Товариства; - одержувати iнформацiю про дiяльнiсть Товариства, знайомитись з даними бухгалтерського облiку та звiтностi; - вимагати розгляду поставленого ним питання на зборах учасникiв, якщо питання було поставлено учасником не пiзнiше як за 25 днiв до початку зборiв; - має переважне право одержувати продукцiю (послуги), виробленi Товариством; - призначати представникiв у збори учасникiв та вiдкликати їх; - обирати i бути обраним в органи управлiння i контрольнi органи Товариства; - знайомитися з протоколами загальних зборiв учасникiв, наказами, розпорядженнями Директора, одержувати виписки iз зазначених документiв; - одержувати у випадку лiквiдацiї Товариства частину майна, що залишилося пiсля розрахункiв iз кредиторами, чи його вартiсть; - у випадках, встановлених законом, оскаржити в судовому порядку рiшення органiв управлiння Товариством, що ущемляють його права i законнi iнтереси; - у будь-який час вийти з Товариства незалежно вiд згоди iнших учасникiв i одержати вартiсть частини майна (частину майна) Товариства, що вiдповiдає його частцi в статутному фондi у порядку й у термiни, встановленi законом, установчими документами; - користуватися iншими правами, наданими учасникам товариства з обмеженою вiдповiдальнiстю законодавством.</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"Добробуд-Дент"</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32583663</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2</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ТОВ "Будiвельний центр "Добробуд" має частку у статутному капiталi ТОВ "ДОБРОБУД-ДЕНТ" - 40% , внесено грошовими коштами.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видами дiяльностi є: стоматологiчна практика (терапевтична, хiрургiчна, ортопедична та дитяча стоматологiя, ортодонтiя); медична практика (загальна та спецiалiзована); торговельна дiяльнiсть у сферi оптової, роздрiбної торгiвлi щодо реалiзацiї </w:t>
      </w:r>
      <w:r>
        <w:rPr>
          <w:rFonts w:ascii="Times New Roman CYR" w:hAnsi="Times New Roman CYR" w:cs="Times New Roman CYR"/>
          <w:sz w:val="24"/>
          <w:szCs w:val="24"/>
        </w:rPr>
        <w:lastRenderedPageBreak/>
        <w:t>продовольчих i непродовольчих товарiв; зовнiшньоекономiчна дiяльнiсть. Товариство має право також здiйснювати iншi види дiяльностi у вiдповiдностi з дiючим законодавством.</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Права що належать емiтенту щодо управлiння створеною юридичною особою: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 визначення основних напрямкiв дiяльностi товариства, затвердження його планiв та звiтiв про їх виконання;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змiни i доповнення до Статуту товариства, змiна розмiру його статутного капiталу;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призначення та звiльнення Директора; вибори та вiдкликання членiв ревiзiйної комiсiї, Голови товариства;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органiв;</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 затвердження рiчних результатiв дiяльностi товариства або його дочiрнiх пiдприємств, затвердження звiтiв i висновкiв ревiзiйної комiсiї, порядок розподiлу прибутку, строку та порядку виплати частки прибутку, визначення порядку покриття збиткiв;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е) вирiшення питання про придбання товариством частки учасника;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виключення учасника з товариства;</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прийняття рiшення про припинення дiяльностi товариства, призначення лiквiдацiйної комiсiї, затвердження лiквiдацiйного балансу;</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утворення, реорганiзацiя i лiквiдацiя дочiрнiх пiдприємства, фiлiй та представництв, затвердження статутiв та положень про них;</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 винесення рiшення про притягнення до майнової вiдповiдальностi посадових осiб органiв управлiння товариства;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ї) затвердження правил процедури та iнших внутрiшнiх документiв товариства, визначення його внутрiшньої структури;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й) визначення умов оплати працi керiвникiв товариства та його дочiрнiх пiдприємств, фiлiй та представництв;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 встановлення розмiрiв та порядку внесення додаткових вкладiв; </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тощо);</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надання згоди на одержання кредитiв у гривнях i в iноземнiй валютi, а також на передачу в заставу майна товариства та укладання ризикових угод.</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будiвництва 16-ти поверхового житлового будинку з вбудовано-прибудованими примiщеннями та пiдземно-надземними гаражами по вул. Пушкiна, 31/2; 33 у м. Черкаси, виконано наступнi роботи: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об'єктi будiвництва по вул. Пушкiна, 31/2; (перша блок-секцiя) станом на 30.06.2019р. виконанi наступнi роботи: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пiдготовчi роботи;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котловану;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пальових фундаментiв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ростверкiв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блокiв стiн пiдвалу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пiдлоги у пiдвалi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 в пiдвалi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сходовi клiтини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монолiтного залiзобетонного покриття пiдвалу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 1 поверху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дiафрагм 1 i 2 поверхiв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перекрття над 2 поверхом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-монтаж сходової клiтини до другого поверху;</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-улаштування колони 5-6 поверхи.</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об'єктi будiвництва по вул. Пушкiна, 31/2; (друга блок-секцiя) станом на 30.06.19р. виконанi наступнi роботи: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-пiдготовчi роботи;</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котловану;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улаштування пальових фундаментiв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ростверкiв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стiн пiдвалу - 84%;</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бетонної пiдготовки пiдпола - 87%;</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дiафрагм у пiдвалi - 96%;</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колони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-цегляна кладка стiн-74%;</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перекриття пiдвалу;</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-монтаж колон 2 ярусу-88%.</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Пiдземний паркiнг. Станом на 30.06.19р. виконанi наступнi роботи: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пiдготовчi роботи;</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котловану;</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буронабивних паль i ростверкiв;</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зовнiшнiх стiн - 93%;</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улаштування виїзду та в'їзду-94%;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будiвництва багатоповерхового житлового будинку з вбудовано-прибудованими примiщеннями по вул. Гоголя, 302 в м. Черкаси, виконанi наступнi роботи: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об'єктi будiвництва по вул. Гоголя, 302 станом на 30.06.19р. виконанi наступнi роботи: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пiдготовчi роботи;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котловану;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улаштування фундаментiв;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зовнiшнi стiни пiдвалу;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перекриття пiдвалу;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улаштування каркасу 1-14 поверхiв; </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вертикальних несущих елементiв 14-го поверху;</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-улаштування перекриття над 14 поверхом - 100%;</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-кладка зовнiшнiх стiн i перегородок 8-9 поверхи - 97%.</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Вiдбувається погашення облiгацiй вiдповiдно до умов Iнформацiї про випуск облiгацiй та чинного законодавства.</w:t>
      </w: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both"/>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F201C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F201C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2019.07.01</w:t>
            </w:r>
          </w:p>
        </w:tc>
      </w:tr>
      <w:tr w:rsidR="00F201C0">
        <w:tblPrEx>
          <w:tblCellMar>
            <w:top w:w="0" w:type="dxa"/>
            <w:bottom w:w="0" w:type="dxa"/>
          </w:tblCellMar>
        </w:tblPrEx>
        <w:tc>
          <w:tcPr>
            <w:tcW w:w="2160" w:type="dxa"/>
            <w:tcBorders>
              <w:top w:val="nil"/>
              <w:left w:val="nil"/>
              <w:bottom w:val="nil"/>
              <w:right w:val="nil"/>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"Будiвельний центр"Добробуд"</w:t>
            </w:r>
          </w:p>
        </w:tc>
        <w:tc>
          <w:tcPr>
            <w:tcW w:w="1990" w:type="dxa"/>
            <w:tcBorders>
              <w:top w:val="nil"/>
              <w:left w:val="nil"/>
              <w:bottom w:val="nil"/>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33978232</w:t>
            </w:r>
          </w:p>
        </w:tc>
      </w:tr>
      <w:tr w:rsidR="00F201C0">
        <w:tblPrEx>
          <w:tblCellMar>
            <w:top w:w="0" w:type="dxa"/>
            <w:bottom w:w="0" w:type="dxa"/>
          </w:tblCellMar>
        </w:tblPrEx>
        <w:tc>
          <w:tcPr>
            <w:tcW w:w="2160" w:type="dxa"/>
            <w:tcBorders>
              <w:top w:val="nil"/>
              <w:left w:val="nil"/>
              <w:bottom w:val="nil"/>
              <w:right w:val="nil"/>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Черкаська область, Приднiпровський р-н</w:t>
            </w:r>
          </w:p>
        </w:tc>
        <w:tc>
          <w:tcPr>
            <w:tcW w:w="1990" w:type="dxa"/>
            <w:tcBorders>
              <w:top w:val="nil"/>
              <w:left w:val="nil"/>
              <w:bottom w:val="nil"/>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7110136400</w:t>
            </w:r>
          </w:p>
        </w:tc>
      </w:tr>
      <w:tr w:rsidR="00F201C0">
        <w:tblPrEx>
          <w:tblCellMar>
            <w:top w:w="0" w:type="dxa"/>
            <w:bottom w:w="0" w:type="dxa"/>
          </w:tblCellMar>
        </w:tblPrEx>
        <w:tc>
          <w:tcPr>
            <w:tcW w:w="2160" w:type="dxa"/>
            <w:tcBorders>
              <w:top w:val="nil"/>
              <w:left w:val="nil"/>
              <w:bottom w:val="nil"/>
              <w:right w:val="nil"/>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c>
          <w:tcPr>
            <w:tcW w:w="1990" w:type="dxa"/>
            <w:tcBorders>
              <w:top w:val="nil"/>
              <w:left w:val="nil"/>
              <w:bottom w:val="nil"/>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w:t>
            </w:r>
          </w:p>
        </w:tc>
      </w:tr>
      <w:tr w:rsidR="00F201C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житлових і нежитлових будівель</w:t>
            </w:r>
          </w:p>
        </w:tc>
        <w:tc>
          <w:tcPr>
            <w:tcW w:w="1990" w:type="dxa"/>
            <w:tcBorders>
              <w:top w:val="nil"/>
              <w:left w:val="nil"/>
              <w:bottom w:val="nil"/>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w:t>
            </w:r>
          </w:p>
        </w:tc>
      </w:tr>
    </w:tbl>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7</w:t>
      </w:r>
    </w:p>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18028, м.Черкаси, провулок Анатолiя Пашкевича , буд.2, 0472645258</w:t>
      </w:r>
    </w:p>
    <w:p w:rsidR="00F201C0" w:rsidRDefault="00F201C0">
      <w:pPr>
        <w:widowControl w:val="0"/>
        <w:autoSpaceDE w:val="0"/>
        <w:autoSpaceDN w:val="0"/>
        <w:adjustRightInd w:val="0"/>
        <w:spacing w:after="0" w:line="240" w:lineRule="auto"/>
        <w:rPr>
          <w:rFonts w:ascii="Times New Roman CYR" w:hAnsi="Times New Roman CYR" w:cs="Times New Roman CYR"/>
          <w:sz w:val="24"/>
          <w:szCs w:val="24"/>
        </w:r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Проміжний баланс</w:t>
      </w:r>
    </w:p>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30.06.2019 p.</w:t>
      </w:r>
    </w:p>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201C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F201C0" w:rsidRDefault="00F201C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F201C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106,6</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106,6</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11342,7</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11961,6</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37140,5</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38469,6</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(25797,8)</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(26508)</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42539,4</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42539,4</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53988,7</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54607,6</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14010,6</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14010,6</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1637,2</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2390,8</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279,9</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279,9</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15960,6</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16749,1</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69949,3</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71356,7</w:t>
            </w:r>
          </w:p>
        </w:tc>
      </w:tr>
    </w:tbl>
    <w:p w:rsidR="00F201C0" w:rsidRDefault="00F201C0">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201C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r>
      <w:tr w:rsidR="00F201C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7020,5</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7020,5</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-4447,9</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-4072,2</w:t>
            </w:r>
          </w:p>
        </w:tc>
      </w:tr>
      <w:tr w:rsidR="00F201C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2572,6</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2948,3</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58737,8</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58737,8</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3695,2</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4780,4</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78,8</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4852,7</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4850,5</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8638,9</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9670,6</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69949,3</w:t>
            </w:r>
          </w:p>
        </w:tc>
        <w:tc>
          <w:tcPr>
            <w:tcW w:w="1645"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71356,7</w:t>
            </w:r>
          </w:p>
        </w:tc>
      </w:tr>
    </w:tbl>
    <w:p w:rsidR="00F201C0" w:rsidRDefault="00F201C0">
      <w:pPr>
        <w:widowControl w:val="0"/>
        <w:autoSpaceDE w:val="0"/>
        <w:autoSpaceDN w:val="0"/>
        <w:adjustRightInd w:val="0"/>
        <w:spacing w:after="0" w:line="240" w:lineRule="auto"/>
        <w:rPr>
          <w:rFonts w:ascii="Times New Roman CYR" w:hAnsi="Times New Roman CYR" w:cs="Times New Roman CYR"/>
        </w:rPr>
      </w:pPr>
    </w:p>
    <w:p w:rsidR="00F201C0" w:rsidRDefault="00F201C0">
      <w:pPr>
        <w:widowControl w:val="0"/>
        <w:autoSpaceDE w:val="0"/>
        <w:autoSpaceDN w:val="0"/>
        <w:adjustRightInd w:val="0"/>
        <w:spacing w:after="0" w:line="240" w:lineRule="auto"/>
        <w:rPr>
          <w:rFonts w:ascii="Times New Roman CYR" w:hAnsi="Times New Roman CYR" w:cs="Times New Roman CYR"/>
        </w:rPr>
        <w:sectPr w:rsidR="00F201C0">
          <w:pgSz w:w="12240" w:h="15840"/>
          <w:pgMar w:top="850" w:right="850" w:bottom="850" w:left="1400" w:header="720" w:footer="720" w:gutter="0"/>
          <w:cols w:space="720"/>
          <w:noEndnote/>
        </w:sectPr>
      </w:pPr>
    </w:p>
    <w:p w:rsidR="00F201C0" w:rsidRDefault="00F201C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Проміжний звіт про фінансові результати</w:t>
      </w:r>
    </w:p>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 квартал 2019 р.</w:t>
      </w:r>
    </w:p>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201C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F201C0" w:rsidRDefault="00F201C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F201C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1501,7</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1363,3</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1501,7</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1363,3</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(829,2)</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(822,7)</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(279,8)</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(508,7)</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(1109,1)</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(1331,4)</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392,6</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201C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376,7</w:t>
            </w:r>
          </w:p>
        </w:tc>
        <w:tc>
          <w:tcPr>
            <w:tcW w:w="1645" w:type="dxa"/>
            <w:gridSpan w:val="2"/>
            <w:tcBorders>
              <w:top w:val="single" w:sz="6" w:space="0" w:color="auto"/>
              <w:left w:val="single" w:sz="6" w:space="0" w:color="auto"/>
              <w:bottom w:val="single" w:sz="6" w:space="0" w:color="auto"/>
            </w:tcBorders>
            <w:vAlign w:val="center"/>
          </w:tcPr>
          <w:p w:rsidR="00F201C0" w:rsidRDefault="00F201C0">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w:t>
            </w:r>
          </w:p>
        </w:tc>
      </w:tr>
    </w:tbl>
    <w:p w:rsidR="00F201C0" w:rsidRDefault="00F201C0">
      <w:pPr>
        <w:widowControl w:val="0"/>
        <w:autoSpaceDE w:val="0"/>
        <w:autoSpaceDN w:val="0"/>
        <w:adjustRightInd w:val="0"/>
        <w:spacing w:after="0" w:line="240" w:lineRule="auto"/>
        <w:rPr>
          <w:rFonts w:ascii="Times New Roman CYR" w:hAnsi="Times New Roman CYR" w:cs="Times New Roman CYR"/>
        </w:rPr>
      </w:pPr>
    </w:p>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Дiденко Валерiй Дмитрович</w:t>
      </w:r>
    </w:p>
    <w:p w:rsidR="00F201C0" w:rsidRDefault="00F201C0">
      <w:pPr>
        <w:widowControl w:val="0"/>
        <w:autoSpaceDE w:val="0"/>
        <w:autoSpaceDN w:val="0"/>
        <w:adjustRightInd w:val="0"/>
        <w:spacing w:after="0" w:line="240" w:lineRule="auto"/>
        <w:rPr>
          <w:rFonts w:ascii="Times New Roman CYR" w:hAnsi="Times New Roman CYR" w:cs="Times New Roman CYR"/>
        </w:rPr>
      </w:pPr>
    </w:p>
    <w:p w:rsidR="00F201C0" w:rsidRDefault="00F201C0">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Сушко Лiдiя Миколаївна</w:t>
      </w:r>
    </w:p>
    <w:p w:rsidR="00F201C0" w:rsidRDefault="00F201C0">
      <w:pPr>
        <w:widowControl w:val="0"/>
        <w:autoSpaceDE w:val="0"/>
        <w:autoSpaceDN w:val="0"/>
        <w:adjustRightInd w:val="0"/>
        <w:spacing w:after="0" w:line="240" w:lineRule="auto"/>
        <w:rPr>
          <w:rFonts w:ascii="Times New Roman CYR" w:hAnsi="Times New Roman CYR" w:cs="Times New Roman CYR"/>
        </w:rPr>
      </w:pPr>
    </w:p>
    <w:sectPr w:rsidR="00F201C0">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15"/>
    <w:rsid w:val="0016549B"/>
    <w:rsid w:val="00763915"/>
    <w:rsid w:val="00F20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9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63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9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63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3685</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VikNik2006</cp:lastModifiedBy>
  <cp:revision>2</cp:revision>
  <cp:lastPrinted>2019-07-31T10:50:00Z</cp:lastPrinted>
  <dcterms:created xsi:type="dcterms:W3CDTF">2019-07-31T12:01:00Z</dcterms:created>
  <dcterms:modified xsi:type="dcterms:W3CDTF">2019-07-31T12:01:00Z</dcterms:modified>
</cp:coreProperties>
</file>