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860" w:rsidRDefault="0007386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73860" w:rsidRDefault="0007386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07386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25.04.2019</w:t>
            </w:r>
          </w:p>
        </w:tc>
      </w:tr>
      <w:tr w:rsidR="00073860">
        <w:tblPrEx>
          <w:tblCellMar>
            <w:top w:w="0" w:type="dxa"/>
            <w:bottom w:w="0" w:type="dxa"/>
          </w:tblCellMar>
        </w:tblPrEx>
        <w:trPr>
          <w:trHeight w:val="300"/>
        </w:trPr>
        <w:tc>
          <w:tcPr>
            <w:tcW w:w="4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7386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073860">
        <w:tblPrEx>
          <w:tblCellMar>
            <w:top w:w="0" w:type="dxa"/>
            <w:bottom w:w="0" w:type="dxa"/>
          </w:tblCellMar>
        </w:tblPrEx>
        <w:trPr>
          <w:trHeight w:val="300"/>
        </w:trPr>
        <w:tc>
          <w:tcPr>
            <w:tcW w:w="4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0"/>
                <w:szCs w:val="20"/>
              </w:rPr>
            </w:pPr>
            <w:bookmarkStart w:id="0" w:name="_GoBack"/>
            <w:r>
              <w:rPr>
                <w:rFonts w:ascii="Times New Roman CYR" w:hAnsi="Times New Roman CYR" w:cs="Times New Roman CYR"/>
                <w:sz w:val="20"/>
                <w:szCs w:val="20"/>
              </w:rPr>
              <w:t>(вихідний реєстраційний номер електронного документа)</w:t>
            </w:r>
          </w:p>
        </w:tc>
      </w:tr>
      <w:bookmarkEnd w:id="0"/>
    </w:tbl>
    <w:p w:rsidR="00073860" w:rsidRDefault="00073860">
      <w:pPr>
        <w:widowControl w:val="0"/>
        <w:autoSpaceDE w:val="0"/>
        <w:autoSpaceDN w:val="0"/>
        <w:adjustRightInd w:val="0"/>
        <w:spacing w:after="0" w:line="240" w:lineRule="auto"/>
        <w:rPr>
          <w:rFonts w:ascii="Times New Roman CYR" w:hAnsi="Times New Roman CYR" w:cs="Times New Roman CYR"/>
          <w:sz w:val="20"/>
          <w:szCs w:val="20"/>
        </w:rPr>
      </w:pPr>
    </w:p>
    <w:p w:rsidR="00073860" w:rsidRDefault="0007386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073860" w:rsidRDefault="00073860">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07386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Чепурний Олександр Анатол?йович</w:t>
            </w:r>
          </w:p>
        </w:tc>
      </w:tr>
      <w:tr w:rsidR="00073860">
        <w:tblPrEx>
          <w:tblCellMar>
            <w:top w:w="0" w:type="dxa"/>
            <w:bottom w:w="0" w:type="dxa"/>
          </w:tblCellMar>
        </w:tblPrEx>
        <w:trPr>
          <w:trHeight w:val="200"/>
        </w:trPr>
        <w:tc>
          <w:tcPr>
            <w:tcW w:w="4140" w:type="dxa"/>
            <w:tcBorders>
              <w:top w:val="nil"/>
              <w:left w:val="nil"/>
              <w:bottom w:val="nil"/>
              <w:right w:val="nil"/>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73860" w:rsidRDefault="00073860">
      <w:pPr>
        <w:widowControl w:val="0"/>
        <w:autoSpaceDE w:val="0"/>
        <w:autoSpaceDN w:val="0"/>
        <w:adjustRightInd w:val="0"/>
        <w:spacing w:after="0" w:line="240" w:lineRule="auto"/>
        <w:rPr>
          <w:rFonts w:ascii="Times New Roman CYR" w:hAnsi="Times New Roman CYR" w:cs="Times New Roman CYR"/>
          <w:sz w:val="20"/>
          <w:szCs w:val="20"/>
        </w:rPr>
      </w:pPr>
    </w:p>
    <w:p w:rsidR="00073860" w:rsidRDefault="00073860">
      <w:pPr>
        <w:widowControl w:val="0"/>
        <w:autoSpaceDE w:val="0"/>
        <w:autoSpaceDN w:val="0"/>
        <w:adjustRightInd w:val="0"/>
        <w:spacing w:after="0" w:line="240" w:lineRule="auto"/>
        <w:rPr>
          <w:rFonts w:ascii="Times New Roman CYR" w:hAnsi="Times New Roman CYR" w:cs="Times New Roman CYR"/>
          <w:sz w:val="20"/>
          <w:szCs w:val="20"/>
        </w:r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Проміжна інформація емітента цінних паперів</w:t>
      </w: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1 квартал 2019 року</w:t>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Товариство з обмеженою вiдповiдальнiстю "Черкасизалiзобетонстрой"</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Товариство з обмеженою відповідальністю</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31701672</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18028, Черкаська обл., Черкаси, провулок 20 Партз"їзду, буд. 2</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0472645258, 0472641650</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stroj@dobrobud.ck.ua</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проміжної інформації</w:t>
      </w: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073860">
        <w:tblPrEx>
          <w:tblCellMar>
            <w:top w:w="0" w:type="dxa"/>
            <w:bottom w:w="0" w:type="dxa"/>
          </w:tblCellMar>
        </w:tblPrEx>
        <w:trPr>
          <w:trHeight w:val="300"/>
        </w:trPr>
        <w:tc>
          <w:tcPr>
            <w:tcW w:w="445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http://www.dobrobud.ck.ua/inv-1.html</w:t>
            </w:r>
          </w:p>
        </w:tc>
        <w:tc>
          <w:tcPr>
            <w:tcW w:w="3350" w:type="dxa"/>
            <w:tcBorders>
              <w:top w:val="nil"/>
              <w:left w:val="nil"/>
              <w:bottom w:val="single" w:sz="6" w:space="0" w:color="auto"/>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25.04.2019</w:t>
            </w:r>
          </w:p>
        </w:tc>
      </w:tr>
      <w:tr w:rsidR="00073860">
        <w:tblPrEx>
          <w:tblCellMar>
            <w:top w:w="0" w:type="dxa"/>
            <w:bottom w:w="0" w:type="dxa"/>
          </w:tblCellMar>
        </w:tblPrEx>
        <w:trPr>
          <w:trHeight w:val="300"/>
        </w:trPr>
        <w:tc>
          <w:tcPr>
            <w:tcW w:w="445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73860" w:rsidRDefault="00073860">
      <w:pPr>
        <w:widowControl w:val="0"/>
        <w:autoSpaceDE w:val="0"/>
        <w:autoSpaceDN w:val="0"/>
        <w:adjustRightInd w:val="0"/>
        <w:spacing w:after="0" w:line="240" w:lineRule="auto"/>
        <w:rPr>
          <w:rFonts w:ascii="Times New Roman CYR" w:hAnsi="Times New Roman CYR" w:cs="Times New Roman CYR"/>
          <w:sz w:val="20"/>
          <w:szCs w:val="20"/>
        </w:rPr>
        <w:sectPr w:rsidR="00073860">
          <w:pgSz w:w="12240" w:h="15840"/>
          <w:pgMar w:top="850" w:right="850" w:bottom="850" w:left="1400" w:header="720" w:footer="720" w:gutter="0"/>
          <w:cols w:space="720"/>
          <w:noEndnote/>
        </w:sect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Зміст</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8"/>
          <w:szCs w:val="28"/>
        </w:rPr>
        <w:tab/>
      </w:r>
      <w:r>
        <w:rPr>
          <w:rFonts w:ascii="Times New Roman CYR" w:hAnsi="Times New Roman CYR" w:cs="Times New Roman CYR"/>
          <w:sz w:val="24"/>
          <w:szCs w:val="24"/>
        </w:rPr>
        <w:t>Відмітьте (Х), якщо відповідна інформація міститься у проміжній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на окремі види діяльності</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посадових осіб емітента</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господарську та фінансову діяльність емітента:</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зобов'язання та забезпечення емітента</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собівартість реалізованої продукції</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про цінні папери емітента:</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випуски акцій емітента</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облігації емітента</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інші цінні папери, випущені емітентом</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похідні цінні папери емітента</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Відомості щодо участі емітента в юридичних особах </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Інформація щодо корпоративного секретаря</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Інформація про вчинення значних правочинів</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 </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Інформація про забезпечення випуску боргових цінних паперів</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конвертацію цінних паперів</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заміну управителя</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керуючого іпотекою</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трансформацію (перетворення) іпотечних активів</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зміни в реєстрі забезпечення іпотечних сертифікатів за кожним консолідованим іпотечним боргом</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іпотечне покриття:</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заміну іпотечних активів у складі іпотечного покриття</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заміни іпотечних активів у складі іпотечного покриття або включення нових іпотечних активів до складу іпотечного покриття </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Інформація про заміну фінансової установи, яка здійснює обслуговування іпотечних активів</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20. Звіт про стан об'єкта нерухомості (у разі емісії цільових облігацій підприємств, </w:t>
            </w:r>
            <w:r>
              <w:rPr>
                <w:rFonts w:ascii="Times New Roman CYR" w:hAnsi="Times New Roman CYR" w:cs="Times New Roman CYR"/>
                <w:sz w:val="24"/>
                <w:szCs w:val="24"/>
              </w:rPr>
              <w:lastRenderedPageBreak/>
              <w:t>виконання зобов'язань за якими здійснюється шляхом передачі об'єкта (частини об'єкта) житлового будівництва)</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21. Проміжна фінансова звітність емітента, складена за положеннями (стандартами) бухгалтерського обліку</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Проміжна фінансова звітність емітента, складена за міжнародними стандартами фінансової звітності</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Висновок про огляд проміжної фінансової звітності, підготовлений аудитором (аудиторською фірмою)</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Проміжний звіт керівництва</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9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Твердження щодо проміжної інформації</w:t>
            </w:r>
          </w:p>
        </w:tc>
        <w:tc>
          <w:tcPr>
            <w:tcW w:w="1000" w:type="dxa"/>
            <w:tcBorders>
              <w:top w:val="nil"/>
              <w:left w:val="nil"/>
              <w:bottom w:val="nil"/>
              <w:right w:val="nil"/>
            </w:tcBorders>
            <w:vAlign w:val="bottom"/>
          </w:tcPr>
          <w:p w:rsidR="00073860" w:rsidRDefault="0007386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73860">
        <w:tblPrEx>
          <w:tblCellMar>
            <w:top w:w="0" w:type="dxa"/>
            <w:bottom w:w="0" w:type="dxa"/>
          </w:tblCellMar>
        </w:tblPrEx>
        <w:trPr>
          <w:trHeight w:val="300"/>
        </w:trPr>
        <w:tc>
          <w:tcPr>
            <w:tcW w:w="10000" w:type="dxa"/>
            <w:gridSpan w:val="2"/>
            <w:tcBorders>
              <w:top w:val="nil"/>
              <w:left w:val="nil"/>
              <w:bottom w:val="nil"/>
              <w:right w:val="nil"/>
            </w:tcBorders>
            <w:vAlign w:val="bottom"/>
          </w:tcPr>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Примітки: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Данi про Банки, що обслуговують емiтента за поточним рахунком у iноземнiй валютi, не надаються - Товариство не має поточного рахунку в iноземнiй валютi.</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посади "корпоративного секретаря" не заповнено у зв'язку iз вiдсутнiстю такої посади.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випуск акцiй емiтента", "Iнформацiя про iншi цiннi папери, випущенi емiтентом" та "Iнформацiя про похiднi цiннi папери емiтента" не заповнено у звязку з вiдсутнiстю зареєстрованого випуску акцiй, iнших цiнних паперiв та похiдних цiнних паперiв, емiсiя яких пiдлягає реєстрацiї.</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обсяги виробництва та реалiзацiї основних видiв продукцiї" та "Iнформацiя про собiвартiсть реалiзованої продукцiї" не заповнена у звязку iз тим, що емiтент не займається переробною чи добувною дiяльнiстю та не виробляє i не розподiляє електроенергiю, газ та воду. </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складає фiнансову звiтнiсть вiдповiдно до мiжнародних стандартiв фiнансової звiтностi.</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"Звiт про стан обєкта нерухомостi" не заповнено у звязку з вiдсутнiстю випуску цiльових облiгацiй, виконання зобовязань за якими забезпечене обєктами нерухомостi. </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tc>
      </w:tr>
    </w:tbl>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sectPr w:rsidR="00073860">
          <w:pgSz w:w="12240" w:h="15840"/>
          <w:pgMar w:top="850" w:right="850" w:bottom="850" w:left="1400" w:header="720" w:footer="720" w:gutter="0"/>
          <w:cols w:space="720"/>
          <w:noEndnote/>
        </w:sect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73860" w:rsidRDefault="0007386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"Черкасизалiзобетонстрой"</w:t>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Дата проведення державної реєстрації</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29.10.2001</w:t>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Територія (область)</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Черкаська обл.</w:t>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Статутний капітал (грн) </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45000</w:t>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5. Відсоток акцій у статутному капіталі, що належать державі</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Середня кількість працівників (осіб)</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Основні види діяльності із зазначенням найменування виду діяльності та коду за КВЕД</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41.20 - Будiвництво житлових i нежитлових будiвель</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23.61 - Виготовлення виробiв iз бетону для будiвництва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46.73 - Оптова торгiвля деревиною, будiвельними матерiалами та санiтарно-технiчним обладнанням</w:t>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Органи управління підприємства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Загальнi Збори учасникiв, директор</w:t>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Засновники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920"/>
        <w:gridCol w:w="4000"/>
        <w:gridCol w:w="2000"/>
      </w:tblGrid>
      <w:tr w:rsidR="00073860">
        <w:tblPrEx>
          <w:tblCellMar>
            <w:top w:w="0" w:type="dxa"/>
            <w:bottom w:w="0" w:type="dxa"/>
          </w:tblCellMar>
        </w:tblPrEx>
        <w:trPr>
          <w:trHeight w:val="200"/>
        </w:trPr>
        <w:tc>
          <w:tcPr>
            <w:tcW w:w="392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якщо засновник - фізична особа; найменування, якщо засновник - юридична особа</w:t>
            </w:r>
          </w:p>
        </w:tc>
        <w:tc>
          <w:tcPr>
            <w:tcW w:w="40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 якщо засновник - юридична особа</w:t>
            </w:r>
          </w:p>
        </w:tc>
        <w:tc>
          <w:tcPr>
            <w:tcW w:w="2000"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Ідентифікаційний код юридичної особи, якщо засновник - юридична особа</w:t>
            </w:r>
          </w:p>
        </w:tc>
      </w:tr>
    </w:tbl>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Якщо кількість фізичних осіб - засновників емітента перевищує двадцять, зазначається загальна кількість фізичних осіб:</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Банки, що обслуговують емітента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АБ "Укргазбанк"</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320478</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26000253030</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в іноземній валюті</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07386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Державний орган, що видав ліцензію</w:t>
            </w:r>
          </w:p>
        </w:tc>
        <w:tc>
          <w:tcPr>
            <w:tcW w:w="1200"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закінчення </w:t>
            </w:r>
            <w:r>
              <w:rPr>
                <w:rFonts w:ascii="Times New Roman CYR" w:hAnsi="Times New Roman CYR" w:cs="Times New Roman CYR"/>
                <w:b/>
                <w:bCs/>
              </w:rPr>
              <w:lastRenderedPageBreak/>
              <w:t>дії ліцензії</w:t>
            </w:r>
          </w:p>
        </w:tc>
      </w:tr>
      <w:tr w:rsidR="0007386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5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7386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Господарська дiяльнiсть пов"язана iз створенням об"єктiв архiтектури</w:t>
            </w:r>
          </w:p>
        </w:tc>
        <w:tc>
          <w:tcPr>
            <w:tcW w:w="150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Серiя АЄ №525502</w:t>
            </w:r>
          </w:p>
        </w:tc>
        <w:tc>
          <w:tcPr>
            <w:tcW w:w="1065"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15.01.2015</w:t>
            </w:r>
          </w:p>
        </w:tc>
        <w:tc>
          <w:tcPr>
            <w:tcW w:w="300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Держархбуд iнспекцiя України</w:t>
            </w:r>
          </w:p>
        </w:tc>
        <w:tc>
          <w:tcPr>
            <w:tcW w:w="1200" w:type="dxa"/>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23.12.2019</w:t>
            </w:r>
          </w:p>
        </w:tc>
      </w:tr>
      <w:tr w:rsidR="00073860">
        <w:tblPrEx>
          <w:tblCellMar>
            <w:top w:w="0" w:type="dxa"/>
            <w:bottom w:w="0" w:type="dxa"/>
          </w:tblCellMar>
        </w:tblPrEx>
        <w:trPr>
          <w:trHeight w:val="200"/>
        </w:trPr>
        <w:tc>
          <w:tcPr>
            <w:tcW w:w="3155"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прогнозовано продовження термiну дiї лiцензiї</w:t>
            </w:r>
          </w:p>
        </w:tc>
      </w:tr>
    </w:tbl>
    <w:p w:rsidR="00073860" w:rsidRDefault="00073860">
      <w:pPr>
        <w:widowControl w:val="0"/>
        <w:autoSpaceDE w:val="0"/>
        <w:autoSpaceDN w:val="0"/>
        <w:adjustRightInd w:val="0"/>
        <w:spacing w:after="0" w:line="240" w:lineRule="auto"/>
        <w:rPr>
          <w:rFonts w:ascii="Times New Roman CYR" w:hAnsi="Times New Roman CYR" w:cs="Times New Roman CYR"/>
        </w:rPr>
      </w:pPr>
    </w:p>
    <w:p w:rsidR="00073860" w:rsidRDefault="00073860">
      <w:pPr>
        <w:widowControl w:val="0"/>
        <w:autoSpaceDE w:val="0"/>
        <w:autoSpaceDN w:val="0"/>
        <w:adjustRightInd w:val="0"/>
        <w:spacing w:after="0" w:line="240" w:lineRule="auto"/>
        <w:rPr>
          <w:rFonts w:ascii="Times New Roman CYR" w:hAnsi="Times New Roman CYR" w:cs="Times New Roman CYR"/>
        </w:r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Чепурний Олександр Анатолiйович</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2318002557</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вища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73860" w:rsidRDefault="0007386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"ОДА"головний iнженер, 0, ТОВ "ОДА"головний iнженер</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073860" w:rsidRDefault="0007386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Чепурний Олександр Анатолiйович прийнятий на посаду директора з 21.07.2017р., рiшенням зборiв учасникiв ТОВ "Черкасизалiзобетонстрой"( протокол 2/2017 вiд 20.07.2017р.) згiдно наказу про призначення директора № 11 к вiд 20.07.2017р. Посадова особа непогашеної судимостi за корисливi та посадовi злочини не має.</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Сушко Лiдiя Миколаївна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2306217183</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середня-спецiальна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73860" w:rsidRDefault="0007386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"Контур-Аудит", виконавчий директор, 0, ПАТ "Контур-Аудит", виконавчий директор</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073860" w:rsidRDefault="0007386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Сушко Л.М. переведена на посаду головного бухгалтера ТОВ "Черкасизалiзобетонстрой", згiдно наказу директора № 20к вiд 12.08.2009р. Посадова особа непогашеної судимостi за корисливi та посадовi злочини не має. </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 Інформація про господарську та фінансову діяльність емітента</w:t>
      </w: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1.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Дата погашення</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50000</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50000</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284/2/07</w:t>
            </w:r>
          </w:p>
        </w:tc>
        <w:tc>
          <w:tcPr>
            <w:tcW w:w="14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07.12.2007</w:t>
            </w:r>
          </w:p>
        </w:tc>
        <w:tc>
          <w:tcPr>
            <w:tcW w:w="148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50000</w:t>
            </w:r>
          </w:p>
        </w:tc>
        <w:tc>
          <w:tcPr>
            <w:tcW w:w="19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31.03.2019</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(усього)</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8125</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58125</w:t>
            </w:r>
          </w:p>
        </w:tc>
        <w:tc>
          <w:tcPr>
            <w:tcW w:w="194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7386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"Iнформацiя про зобовязання емiтента за фiнансовими iнвестицiями в корпоративнi права податковi зобовязання", "Iнформацiя про зобовязання емiтента за iпотечними цiнними паперами (за кожиним власним випуском), "Iнформацiя про зобовязання емiтента за кредитами в банку", "Iнформацiя про зобовязання емiтента за кожним випуском сертифiкатiв ФОН", "Iнформацiя про зобовязання емiтента за векселями", "Iнформацiя про зобовязання емiтента за iншими цiнними паперами (у тому числi за похiдними цiнними паперами) (за кожним видом)" "Iнформацiя про зобовязання емiтента щодо фiнансової допомоги на зворотнiй основi" "Iнформацiя про податковi зобовязання емiтента" не заповнено у звязку з вiдсутнiстю такої iнформацiї</w:t>
            </w:r>
          </w:p>
        </w:tc>
      </w:tr>
    </w:tbl>
    <w:p w:rsidR="00073860" w:rsidRDefault="00073860">
      <w:pPr>
        <w:widowControl w:val="0"/>
        <w:autoSpaceDE w:val="0"/>
        <w:autoSpaceDN w:val="0"/>
        <w:adjustRightInd w:val="0"/>
        <w:spacing w:after="0" w:line="240" w:lineRule="auto"/>
        <w:rPr>
          <w:rFonts w:ascii="Times New Roman CYR" w:hAnsi="Times New Roman CYR" w:cs="Times New Roman CYR"/>
        </w:rPr>
      </w:pPr>
    </w:p>
    <w:p w:rsidR="00073860" w:rsidRDefault="00073860">
      <w:pPr>
        <w:widowControl w:val="0"/>
        <w:autoSpaceDE w:val="0"/>
        <w:autoSpaceDN w:val="0"/>
        <w:adjustRightInd w:val="0"/>
        <w:spacing w:after="0" w:line="240" w:lineRule="auto"/>
        <w:rPr>
          <w:rFonts w:ascii="Times New Roman CYR" w:hAnsi="Times New Roman CYR" w:cs="Times New Roman CYR"/>
        </w:rPr>
      </w:pPr>
    </w:p>
    <w:p w:rsidR="00073860" w:rsidRDefault="00073860">
      <w:pPr>
        <w:widowControl w:val="0"/>
        <w:autoSpaceDE w:val="0"/>
        <w:autoSpaceDN w:val="0"/>
        <w:adjustRightInd w:val="0"/>
        <w:spacing w:after="0" w:line="240" w:lineRule="auto"/>
        <w:rPr>
          <w:rFonts w:ascii="Times New Roman CYR" w:hAnsi="Times New Roman CYR" w:cs="Times New Roman CYR"/>
        </w:rPr>
        <w:sectPr w:rsidR="00073860">
          <w:pgSz w:w="12240" w:h="15840"/>
          <w:pgMar w:top="850" w:right="850" w:bottom="850" w:left="1400" w:header="720" w:footer="720" w:gutter="0"/>
          <w:cols w:space="720"/>
          <w:noEndnote/>
        </w:sect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VІІ. Відомості про цінні папери емітента</w:t>
      </w: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73860" w:rsidRDefault="0007386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Інформація про облігації емітента</w:t>
      </w: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20"/>
        <w:gridCol w:w="880"/>
        <w:gridCol w:w="1200"/>
        <w:gridCol w:w="1200"/>
        <w:gridCol w:w="900"/>
        <w:gridCol w:w="1050"/>
        <w:gridCol w:w="1100"/>
        <w:gridCol w:w="1400"/>
        <w:gridCol w:w="1100"/>
        <w:gridCol w:w="1310"/>
        <w:gridCol w:w="1190"/>
        <w:gridCol w:w="1350"/>
        <w:gridCol w:w="1200"/>
      </w:tblGrid>
      <w:tr w:rsidR="00073860">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8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12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2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9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Облігації (відсоткові, цільові, дисконтні)</w:t>
            </w:r>
          </w:p>
        </w:tc>
        <w:tc>
          <w:tcPr>
            <w:tcW w:w="105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1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у випуску (шт.)</w:t>
            </w:r>
          </w:p>
        </w:tc>
        <w:tc>
          <w:tcPr>
            <w:tcW w:w="14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1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31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Процентна ставка (у відсотках)</w:t>
            </w:r>
          </w:p>
        </w:tc>
        <w:tc>
          <w:tcPr>
            <w:tcW w:w="119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Термін виплати процентів</w:t>
            </w:r>
          </w:p>
        </w:tc>
        <w:tc>
          <w:tcPr>
            <w:tcW w:w="135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Сума виплаченого процентного доходу у звітному періоді (грн)</w:t>
            </w:r>
          </w:p>
        </w:tc>
        <w:tc>
          <w:tcPr>
            <w:tcW w:w="1200"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погашення облігацій</w:t>
            </w:r>
          </w:p>
        </w:tc>
      </w:tr>
      <w:tr w:rsidR="00073860">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8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5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1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10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31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19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5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200"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073860">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15.06.2007</w:t>
            </w:r>
          </w:p>
        </w:tc>
        <w:tc>
          <w:tcPr>
            <w:tcW w:w="88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284/2/07</w:t>
            </w:r>
          </w:p>
        </w:tc>
        <w:tc>
          <w:tcPr>
            <w:tcW w:w="120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UA4000013874</w:t>
            </w:r>
          </w:p>
        </w:tc>
        <w:tc>
          <w:tcPr>
            <w:tcW w:w="90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дисконтні</w:t>
            </w:r>
          </w:p>
        </w:tc>
        <w:tc>
          <w:tcPr>
            <w:tcW w:w="105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10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2000000</w:t>
            </w:r>
          </w:p>
        </w:tc>
        <w:tc>
          <w:tcPr>
            <w:tcW w:w="140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Документарні іменні</w:t>
            </w:r>
          </w:p>
        </w:tc>
        <w:tc>
          <w:tcPr>
            <w:tcW w:w="110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54000000</w:t>
            </w:r>
          </w:p>
        </w:tc>
        <w:tc>
          <w:tcPr>
            <w:tcW w:w="131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31.03.2019</w:t>
            </w:r>
          </w:p>
        </w:tc>
      </w:tr>
      <w:tr w:rsidR="00073860">
        <w:tblPrEx>
          <w:tblCellMar>
            <w:top w:w="0" w:type="dxa"/>
            <w:left w:w="108" w:type="dxa"/>
            <w:bottom w:w="0"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Дискотнi iменнi облiгацiї (серiї А) цiннi папери емiтента на бiржах або позабiржових торговельно-iнформацiйних системах не обертались. Емiтент не укладав договорiв з органiзаторами торгiвлi на проведення розмiщення облiгацiй. Метою використання фiнансових ресурсiв, залучених вiд розмiщення облiгацiй, є розширення дiяльностi емiтента за рахунок купiвлi будiвельної технiки - 20%, будiвельних матерiалiв - 70%, цiнних паперiв емiтентiв, що займаються операцiями з нерухомостю - 10%. Емiтент проводить вiдкрите (публiчне) розмiщення облiгацiй. Виплату процентiв не передбачено. Фактiв лiстингу/дилiстингу цiнних паперiв емiтента на фондових бiржах у звiтному кварталi не було. </w:t>
            </w:r>
          </w:p>
        </w:tc>
      </w:tr>
    </w:tbl>
    <w:p w:rsidR="00073860" w:rsidRDefault="00073860">
      <w:pPr>
        <w:widowControl w:val="0"/>
        <w:autoSpaceDE w:val="0"/>
        <w:autoSpaceDN w:val="0"/>
        <w:adjustRightInd w:val="0"/>
        <w:spacing w:after="0" w:line="240" w:lineRule="auto"/>
        <w:rPr>
          <w:rFonts w:ascii="Times New Roman CYR" w:hAnsi="Times New Roman CYR" w:cs="Times New Roman CYR"/>
        </w:rPr>
      </w:pPr>
    </w:p>
    <w:p w:rsidR="00073860" w:rsidRDefault="00073860">
      <w:pPr>
        <w:widowControl w:val="0"/>
        <w:autoSpaceDE w:val="0"/>
        <w:autoSpaceDN w:val="0"/>
        <w:adjustRightInd w:val="0"/>
        <w:spacing w:after="0" w:line="240" w:lineRule="auto"/>
        <w:rPr>
          <w:rFonts w:ascii="Times New Roman CYR" w:hAnsi="Times New Roman CYR" w:cs="Times New Roman CYR"/>
        </w:rPr>
        <w:sectPr w:rsidR="00073860">
          <w:pgSz w:w="16838" w:h="11906" w:orient="landscape"/>
          <w:pgMar w:top="850" w:right="850" w:bottom="850" w:left="1400" w:header="720" w:footer="720" w:gutter="0"/>
          <w:cols w:space="720"/>
          <w:noEndnote/>
        </w:sect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Відомості щодо участі емітента у юридичних особах</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"Добробуд-Дент"</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32583663</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буд. 2</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"Черкасизалiзобетонстрой" має частку у статутному капiталi ТОВ "Добробуд-Дент" - 60%, внесено грошовими коштами. Основними видами дiяльностi є: стомотологiчна практика (терапевтична, хiрургiчна, ортопедична та дитяча стоматологiя, ортодонтiя); медична практика (загальна та спецiалiзована); торговельна дiяльнiсть у сферi оптової, роздрiбної торгiвлi щодо реалiзацiї продовольчих i непродовольчих товарiв; зовнiшньоекономiчна дiяльнiсть. Товариство має право також здiйснювати iншi види дiяльностi у вiдповiдностi з дiючим законодавством.</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що належать емiтенту щодо управлiння створеною юридичною особою:</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статуного капiталу;</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звiльнення Директора; вибори та вiдкликання членiв ревiзiйної комiсiї, Голови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органiв;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i висновкiв ревiзiйної комiсiї, порядок розподiлу прибутку, строку та порядку виплати частки прибутку, визначення порядку покриття збиткiв;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вирiшення питання про придбання товариством частки учасника;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виключення учасника з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прийняття рiшення про припинення дiяльностi товариства, призначення лiквiдацiйної комiсiї, затвердження лiквiдацiйного балансу;</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утворення, реорганiзацiя i лiквiдацiя дочiрнiх пiдприємств, фiлiй та представництв, затвердження статутiв та положень про них;</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винесення рiшення про притягнення до майнової вiдповiдальностi посадових осiб органiв управлiння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ї) затвердження правил процедури та iнших внутрiшнiх документiв товариства, визначення його внутрiшньої структури;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визначення умов оплати працi керiвникiв товариства та його дочiрнiх пiдприємств, фiлiй та представництв;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встановлення розмiрiв та порядку внесення додаткових вкладiв;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входження до складу засновникiв (учасникiв) господарських товарист; прийняття рiшень про участь в обєднаннях (асоцiацiях, консорцiумах, концернах, тощо);</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 надання згоди на одержавння кредитiв у гривнях i в iноземнiй валютi, а також на передачу в заставу майна товариства та укладення ризикових угод. </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Дочiрнє пiдприємство "Ремонтно-експлуатацiйне управлiння-8"</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Дочірнє підприємство</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32339453</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 Черкаси, провулок Хiмiкiв, буд. 2</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"Черкасизалiзобетонстрой" має частку у статутному фондi ДП "РЕУ-8" - 100%, що складається з основних засобiв (споруд, будiвель). Основним видом дiяльностi є експлуатацiя та обслуговування житлового фонду, експлуатацiя службових будинкiв, а саме: надання послуг централiзованого холодного та гарячого водопостачання, теплопостачання, благоустрiй, зовнiшнiй благоустрiй, комунальне та побутове газопостачання, управлiння нерухомiстю. Права, що належать емiтенту щодо управлiння створеною юридичною особою:</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статутного капiталу;</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змiна його Генерального директора, вибори та вiдкликання членiв ревiзiйної комiсiї, Голови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 визначення форм контролю за дiяльнiстю виконавчого органу, створення та визначення повноважень вiдповiдних контрольних орагнiв;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ревiзiйної комiсiї, порядок розподiлу прибутку, визначення порядку покриття збиткiв;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утворення, реорганiзацiя i лiквiдацiя дочiрнiх пiдприємств, фiлiй та представництв, затвердженя статутiв та положень до них;</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винесення рiшення про притягнення до майнової вiдповiдальностi кервiних орагнiв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затвердження правил процедури та iнших внутрiшнiх документiв товариства, визначення його внутрiшньої структури;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визначення умов оплдати працi керiвникiв товариства та його дочiрнiх пiдприємств, фiлiй та представництв;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встановлення розмiрiв та порядку внесення додаткових вкладiв;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вирiшення питання про придбання товариством частки учасника;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виключення учасника з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припинення дiяльностi товариства, призначення лiквiдацiйної комiсiї, затвердження лiквiдацiйного балансу;</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приняття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та iнше).</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"Черкасизалiзобетонбуд"</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31041120</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буд. 2</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ТОВ "Черкасизалiзобетонстрой" має частку у статутному капiталi ТОВ "ЧеркасиЗалiзобетонБуд" - 99,998%, внесено грошовими коштами та майном. Основним видом дiяльностi є виробництво та реалiзацiя залiзобетонних кострукцiй, виробiв, виробництво бетону i </w:t>
      </w:r>
      <w:r>
        <w:rPr>
          <w:rFonts w:ascii="Times New Roman CYR" w:hAnsi="Times New Roman CYR" w:cs="Times New Roman CYR"/>
          <w:sz w:val="24"/>
          <w:szCs w:val="24"/>
        </w:rPr>
        <w:lastRenderedPageBreak/>
        <w:t>будiвельного розчину, виробництво стiнових блокiв, будiвельнi i будiвельно-монтажнi роботи, торгiвельна дiяльнiсть у сферi оптової, роздрiбної та громадського харчування щодо реалiзацiї продовольчих i непродовольчих товарiв, алкогольних напоїв, тютюнових виробiв, зовнiшньоекономiчна дiяльнiсть.</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що належать емiтенту щодо управлiння створеною юридичною особою:</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статутного капiталу;</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звiльнення Генерального директора, вибори та вiдкликання членiв ревiзiйної комiсiї, Голови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органiв;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ревiзiйної комiсiї, порядок розподiлу прибутку, визначення порядку покриття збиткiв;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утворення, реорганiзацiя i лiквiдацiя дочiрнiх пiдприємств, фiлiй та представництв, затвердженя статутiв та положень до них;</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винесення рiшення про притягнення до майнової вiдповiдальностi кервiних орагнiв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затвердження правил процедури та iнших внутрiшнiх документiв товариства, визначення його внутрiшньої структури;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визначення умов оплдати працi керiвникiв товариства та його дочiрнiх пiдприємств, фiлiй та представництв;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встановлення розмiрiв та порядку внесення додаткових вкладiв;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вирiшення питання про придбання товариством частки учасника;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виключення учасника з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припинення дiяльностi товариства, призначення лiквiдацiйної комiсiї, затвердження лiквiдацiйного балансу;</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приняття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та iнше).</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"Черкасизалiзобетонбуд-2"</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37715460</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18005, м. Черкаси, бул. Шевченка, буд. 352</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"Черкасизалiзобетонстрой" має частку у статутному фондi ТОВ "Черкасизалiзобетонбуд-2" - 99%. Товариство створене вiдповiдно до рiшення загальних зборiв учасникiв ТОВ "ЧеркасиЗалiзобетонБуд", шляхом видiлу частини майнових та немайнових активiв, повязаних з дiяльнiстю структурних пiдроздiлiв в окремий субєкт пiдприємницької дiяльностi. Основними видами дiяльностi є будiвельна дiяльнiсть (вишукувальнi та проектнi роботи для будiвництва, зведення несучих та огороджуючих конструкцiй, будiвництво та монтаж iнженерних i транспортних мереж); виробництво та реалiзацiя залiзобетонних конструкцiй, виробiв; архiтектурне та будiвельне проектування, у тому числi житлових будiвель, громадських будiвель i споруд; монтаж кострукцiй зовнiшнiх iнженерних мереж систем; монтаж внуьрiшнiх систем, приладiв, засобiв вимiрювання; пусконалагоджувальнi роботи, вентиляцiйнi роботи; зовнiшньоекономiчна дiяльнiсть.</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що належать емiтенту щодо управлiння створеною юридичною особою:</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визначення основних напрямкiв дiяльностi товариства, затвердження його планiв та звiтiв про їх виконання;</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змiни i доповнення до Статуту товариства, змiна розмiру його статутного капiталу;</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призначення та змiна його директора, вибори та вiдкликання членiв ревiзiйної комiсiї, Голови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орагнiв;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затвердження рiчних результатiв дiяльностi товариства або його дочiрнiх пiдприємств, затвердження звiтiв ревiзiйної комiсiї, порядок розподiлу прибутку, строку та порядку виплати частки прибутку, визначення порядку покриття збиткiв;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вирiшення питання про придбання товариством частки учасника;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виключення учасника з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ж) прийняття рiшення про припинення дiяльностi товариства, призначення лiквiдацiйної комiсiї, затвердження лiквiдацiйного балансу;</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утворення, реорганiзацiя i лiквiдацiя дочiрнiх пiдприємств, фiлiй та представництв, затвердженя статутiв та положень до них;</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винесення рiшення про притягнення до майнової вiдповiдальностi посадових органiв управлiння товариства;</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ї) затвердження правил процедури та iнших внутрiшнiх документiв товариства, визначення його внутрiшньої структури;</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й) визначення умов оплати працi керiвникiв товариства та його дочiрнiх пiдприємств, фiлiй та представництв;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 встановлення розмiрiв та порядку внесення додаткових вкладiв;</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тощо);</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надання згоди на одержання кредитiв у гривнях i в iноземнiй валютi, а також на передачу в заставу майна товариства та укладання ризикових угод.</w:t>
      </w: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sectPr w:rsidR="00073860">
          <w:pgSz w:w="16838" w:h="11906" w:orient="landscape"/>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7386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7386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73860" w:rsidRDefault="0007386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26.03.2019</w:t>
            </w:r>
          </w:p>
        </w:tc>
      </w:tr>
      <w:tr w:rsidR="00073860">
        <w:tblPrEx>
          <w:tblCellMar>
            <w:top w:w="0" w:type="dxa"/>
            <w:bottom w:w="0" w:type="dxa"/>
          </w:tblCellMar>
        </w:tblPrEx>
        <w:trPr>
          <w:trHeight w:val="298"/>
        </w:trPr>
        <w:tc>
          <w:tcPr>
            <w:tcW w:w="2160" w:type="dxa"/>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"Черкасизалiзобетонстрой"</w:t>
            </w:r>
          </w:p>
        </w:tc>
        <w:tc>
          <w:tcPr>
            <w:tcW w:w="1654" w:type="dxa"/>
            <w:tcBorders>
              <w:top w:val="nil"/>
              <w:left w:val="nil"/>
              <w:bottom w:val="nil"/>
              <w:right w:val="single" w:sz="6" w:space="0" w:color="auto"/>
            </w:tcBorders>
            <w:vAlign w:val="center"/>
          </w:tcPr>
          <w:p w:rsidR="00073860" w:rsidRDefault="0007386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31701672</w:t>
            </w:r>
          </w:p>
        </w:tc>
      </w:tr>
      <w:tr w:rsidR="00073860">
        <w:tblPrEx>
          <w:tblCellMar>
            <w:top w:w="0" w:type="dxa"/>
            <w:bottom w:w="0" w:type="dxa"/>
          </w:tblCellMar>
        </w:tblPrEx>
        <w:trPr>
          <w:trHeight w:val="298"/>
        </w:trPr>
        <w:tc>
          <w:tcPr>
            <w:tcW w:w="2160" w:type="dxa"/>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Черкаська область, Приднiпровський р-н</w:t>
            </w:r>
          </w:p>
        </w:tc>
        <w:tc>
          <w:tcPr>
            <w:tcW w:w="1654" w:type="dxa"/>
            <w:tcBorders>
              <w:top w:val="nil"/>
              <w:left w:val="nil"/>
              <w:bottom w:val="nil"/>
              <w:right w:val="single" w:sz="6" w:space="0" w:color="auto"/>
            </w:tcBorders>
            <w:vAlign w:val="center"/>
          </w:tcPr>
          <w:p w:rsidR="00073860" w:rsidRDefault="0007386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7110136400</w:t>
            </w:r>
          </w:p>
        </w:tc>
      </w:tr>
      <w:tr w:rsidR="00073860">
        <w:tblPrEx>
          <w:tblCellMar>
            <w:top w:w="0" w:type="dxa"/>
            <w:bottom w:w="0" w:type="dxa"/>
          </w:tblCellMar>
        </w:tblPrEx>
        <w:trPr>
          <w:trHeight w:val="298"/>
        </w:trPr>
        <w:tc>
          <w:tcPr>
            <w:tcW w:w="2160" w:type="dxa"/>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c>
          <w:tcPr>
            <w:tcW w:w="1654" w:type="dxa"/>
            <w:tcBorders>
              <w:top w:val="nil"/>
              <w:left w:val="nil"/>
              <w:bottom w:val="nil"/>
              <w:right w:val="single" w:sz="6" w:space="0" w:color="auto"/>
            </w:tcBorders>
            <w:vAlign w:val="center"/>
          </w:tcPr>
          <w:p w:rsidR="00073860" w:rsidRDefault="0007386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w:t>
            </w:r>
          </w:p>
        </w:tc>
      </w:tr>
      <w:tr w:rsidR="00073860">
        <w:tblPrEx>
          <w:tblCellMar>
            <w:top w:w="0" w:type="dxa"/>
            <w:bottom w:w="0" w:type="dxa"/>
          </w:tblCellMar>
        </w:tblPrEx>
        <w:trPr>
          <w:trHeight w:val="298"/>
        </w:trPr>
        <w:tc>
          <w:tcPr>
            <w:tcW w:w="2160" w:type="dxa"/>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житлових і нежитлових будівель</w:t>
            </w:r>
          </w:p>
        </w:tc>
        <w:tc>
          <w:tcPr>
            <w:tcW w:w="1654" w:type="dxa"/>
            <w:tcBorders>
              <w:top w:val="nil"/>
              <w:left w:val="nil"/>
              <w:bottom w:val="nil"/>
              <w:right w:val="single" w:sz="6" w:space="0" w:color="auto"/>
            </w:tcBorders>
            <w:vAlign w:val="center"/>
          </w:tcPr>
          <w:p w:rsidR="00073860" w:rsidRDefault="0007386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w:t>
            </w:r>
          </w:p>
        </w:tc>
      </w:tr>
    </w:tbl>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29</w:t>
      </w: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18028 Черкаси, провулок 20 Партз"їзду, буд. 2, 0472645258</w:t>
      </w: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07386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7386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r>
    </w:tbl>
    <w:p w:rsidR="00073860" w:rsidRDefault="00073860">
      <w:pPr>
        <w:widowControl w:val="0"/>
        <w:autoSpaceDE w:val="0"/>
        <w:autoSpaceDN w:val="0"/>
        <w:adjustRightInd w:val="0"/>
        <w:spacing w:after="0" w:line="240" w:lineRule="auto"/>
        <w:rPr>
          <w:rFonts w:ascii="Times New Roman CYR" w:hAnsi="Times New Roman CYR" w:cs="Times New Roman CYR"/>
          <w:sz w:val="24"/>
          <w:szCs w:val="24"/>
        </w:r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31.03.2019 p.</w:t>
      </w:r>
    </w:p>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7386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73860" w:rsidRDefault="0007386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7386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1 226</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1 226</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1 312</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1 343</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744</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622</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21 695</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22 819</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568</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4 271</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5 089</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27 992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29 482</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29 304</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30 794</w:t>
            </w:r>
          </w:p>
        </w:tc>
      </w:tr>
    </w:tbl>
    <w:p w:rsidR="00073860" w:rsidRDefault="0007386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7386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r>
      <w:tr w:rsidR="0007386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6 325</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6 376</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6 370</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6 421</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8 027</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7 085</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7 718</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7 371</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8 125</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14 907</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16 346</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29 304</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30 794</w:t>
            </w:r>
          </w:p>
        </w:tc>
      </w:tr>
    </w:tbl>
    <w:p w:rsidR="00073860" w:rsidRDefault="00073860">
      <w:pPr>
        <w:widowControl w:val="0"/>
        <w:autoSpaceDE w:val="0"/>
        <w:autoSpaceDN w:val="0"/>
        <w:adjustRightInd w:val="0"/>
        <w:spacing w:after="0" w:line="240" w:lineRule="auto"/>
        <w:rPr>
          <w:rFonts w:ascii="Times New Roman CYR" w:hAnsi="Times New Roman CYR" w:cs="Times New Roman CYR"/>
        </w:rPr>
      </w:pP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О.А.</w:t>
      </w:r>
    </w:p>
    <w:p w:rsidR="00073860" w:rsidRDefault="00073860">
      <w:pPr>
        <w:widowControl w:val="0"/>
        <w:autoSpaceDE w:val="0"/>
        <w:autoSpaceDN w:val="0"/>
        <w:adjustRightInd w:val="0"/>
        <w:spacing w:after="0" w:line="240" w:lineRule="auto"/>
        <w:rPr>
          <w:rFonts w:ascii="Times New Roman CYR" w:hAnsi="Times New Roman CYR" w:cs="Times New Roman CYR"/>
        </w:rPr>
      </w:pP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Сушко Л.М.</w:t>
      </w:r>
    </w:p>
    <w:p w:rsidR="00073860" w:rsidRDefault="00073860">
      <w:pPr>
        <w:widowControl w:val="0"/>
        <w:autoSpaceDE w:val="0"/>
        <w:autoSpaceDN w:val="0"/>
        <w:adjustRightInd w:val="0"/>
        <w:spacing w:after="0" w:line="240" w:lineRule="auto"/>
        <w:rPr>
          <w:rFonts w:ascii="Times New Roman CYR" w:hAnsi="Times New Roman CYR" w:cs="Times New Roman CYR"/>
        </w:rPr>
        <w:sectPr w:rsidR="0007386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7386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7386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73860" w:rsidRDefault="0007386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31.03.2019</w:t>
            </w:r>
          </w:p>
        </w:tc>
      </w:tr>
      <w:tr w:rsidR="00073860">
        <w:tblPrEx>
          <w:tblCellMar>
            <w:top w:w="0" w:type="dxa"/>
            <w:bottom w:w="0" w:type="dxa"/>
          </w:tblCellMar>
        </w:tblPrEx>
        <w:trPr>
          <w:trHeight w:val="298"/>
        </w:trPr>
        <w:tc>
          <w:tcPr>
            <w:tcW w:w="2160" w:type="dxa"/>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"Черкасизалiзобетонстрой"</w:t>
            </w:r>
          </w:p>
        </w:tc>
        <w:tc>
          <w:tcPr>
            <w:tcW w:w="1654" w:type="dxa"/>
            <w:tcBorders>
              <w:top w:val="nil"/>
              <w:left w:val="nil"/>
              <w:bottom w:val="nil"/>
              <w:right w:val="single" w:sz="6" w:space="0" w:color="auto"/>
            </w:tcBorders>
            <w:vAlign w:val="center"/>
          </w:tcPr>
          <w:p w:rsidR="00073860" w:rsidRDefault="0007386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31701672</w:t>
            </w:r>
          </w:p>
        </w:tc>
      </w:tr>
    </w:tbl>
    <w:p w:rsidR="00073860" w:rsidRDefault="00073860">
      <w:pPr>
        <w:widowControl w:val="0"/>
        <w:autoSpaceDE w:val="0"/>
        <w:autoSpaceDN w:val="0"/>
        <w:adjustRightInd w:val="0"/>
        <w:spacing w:after="0" w:line="240" w:lineRule="auto"/>
        <w:rPr>
          <w:rFonts w:ascii="Times New Roman CYR" w:hAnsi="Times New Roman CYR" w:cs="Times New Roman CYR"/>
        </w:rPr>
      </w:pP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73860" w:rsidRDefault="0007386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1 квартал 2019 року</w:t>
      </w:r>
    </w:p>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7386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73860" w:rsidRDefault="0007386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73860" w:rsidRDefault="0007386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7386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4 089</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5 987</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( 3 611 )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( 5 584 )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478</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( 416 )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( 305 )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7386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r>
    </w:tbl>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7386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3 551</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5 449</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395</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4 027</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5 889</w:t>
            </w:r>
          </w:p>
        </w:tc>
      </w:tr>
    </w:tbl>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7386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07386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73860" w:rsidRDefault="0007386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73860" w:rsidRDefault="00073860">
      <w:pPr>
        <w:widowControl w:val="0"/>
        <w:autoSpaceDE w:val="0"/>
        <w:autoSpaceDN w:val="0"/>
        <w:adjustRightInd w:val="0"/>
        <w:spacing w:after="0" w:line="240" w:lineRule="auto"/>
        <w:rPr>
          <w:rFonts w:ascii="Times New Roman CYR" w:hAnsi="Times New Roman CYR" w:cs="Times New Roman CYR"/>
        </w:rPr>
      </w:pP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Чепурний О.А.</w:t>
      </w:r>
    </w:p>
    <w:p w:rsidR="00073860" w:rsidRDefault="00073860">
      <w:pPr>
        <w:widowControl w:val="0"/>
        <w:autoSpaceDE w:val="0"/>
        <w:autoSpaceDN w:val="0"/>
        <w:adjustRightInd w:val="0"/>
        <w:spacing w:after="0" w:line="240" w:lineRule="auto"/>
        <w:rPr>
          <w:rFonts w:ascii="Times New Roman CYR" w:hAnsi="Times New Roman CYR" w:cs="Times New Roman CYR"/>
        </w:rPr>
      </w:pPr>
    </w:p>
    <w:p w:rsidR="00073860" w:rsidRDefault="0007386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Сушко Л.М.</w:t>
      </w:r>
    </w:p>
    <w:p w:rsidR="00073860" w:rsidRDefault="00073860">
      <w:pPr>
        <w:widowControl w:val="0"/>
        <w:autoSpaceDE w:val="0"/>
        <w:autoSpaceDN w:val="0"/>
        <w:adjustRightInd w:val="0"/>
        <w:spacing w:after="0" w:line="240" w:lineRule="auto"/>
        <w:rPr>
          <w:rFonts w:ascii="Times New Roman CYR" w:hAnsi="Times New Roman CYR" w:cs="Times New Roman CYR"/>
        </w:rPr>
        <w:sectPr w:rsidR="00073860">
          <w:pgSz w:w="12240" w:h="15840"/>
          <w:pgMar w:top="850" w:right="850" w:bottom="850" w:left="1400" w:header="720" w:footer="720" w:gutter="0"/>
          <w:cols w:space="720"/>
          <w:noEndnote/>
        </w:sectPr>
      </w:pPr>
    </w:p>
    <w:p w:rsidR="00073860" w:rsidRDefault="00073860">
      <w:pPr>
        <w:widowControl w:val="0"/>
        <w:autoSpaceDE w:val="0"/>
        <w:autoSpaceDN w:val="0"/>
        <w:adjustRightInd w:val="0"/>
        <w:spacing w:after="0" w:line="240" w:lineRule="auto"/>
        <w:rPr>
          <w:rFonts w:ascii="Times New Roman CYR" w:hAnsi="Times New Roman CYR" w:cs="Times New Roman CYR"/>
        </w:rPr>
      </w:pPr>
    </w:p>
    <w:sectPr w:rsidR="00073860">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6A"/>
    <w:rsid w:val="00073860"/>
    <w:rsid w:val="00382C6A"/>
    <w:rsid w:val="00D5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4860</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Operator</cp:lastModifiedBy>
  <cp:revision>2</cp:revision>
  <dcterms:created xsi:type="dcterms:W3CDTF">2019-04-26T08:15:00Z</dcterms:created>
  <dcterms:modified xsi:type="dcterms:W3CDTF">2019-04-26T08:15:00Z</dcterms:modified>
</cp:coreProperties>
</file>